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A7" w:rsidRPr="00324C89" w:rsidRDefault="003D61A7" w:rsidP="003D61A7">
      <w:pPr>
        <w:pStyle w:val="Bezmezer"/>
        <w:jc w:val="center"/>
        <w:rPr>
          <w:rFonts w:asciiTheme="minorHAnsi" w:hAnsiTheme="minorHAnsi"/>
          <w:b/>
          <w:sz w:val="24"/>
          <w:szCs w:val="24"/>
        </w:rPr>
      </w:pPr>
      <w:r w:rsidRPr="00324C89">
        <w:rPr>
          <w:rFonts w:asciiTheme="minorHAnsi" w:hAnsiTheme="minorHAnsi"/>
          <w:b/>
          <w:sz w:val="24"/>
          <w:szCs w:val="24"/>
        </w:rPr>
        <w:t xml:space="preserve">ROZHODČÍ  </w:t>
      </w:r>
      <w:r w:rsidR="00590622">
        <w:rPr>
          <w:rFonts w:asciiTheme="minorHAnsi" w:hAnsiTheme="minorHAnsi"/>
          <w:b/>
          <w:sz w:val="24"/>
          <w:szCs w:val="24"/>
        </w:rPr>
        <w:t>DOLOŽKA</w:t>
      </w:r>
      <w:bookmarkStart w:id="0" w:name="_GoBack"/>
      <w:bookmarkEnd w:id="0"/>
    </w:p>
    <w:p w:rsidR="003D61A7" w:rsidRPr="00324C89" w:rsidRDefault="003D61A7" w:rsidP="003D61A7">
      <w:pPr>
        <w:pStyle w:val="Bezmezer"/>
        <w:jc w:val="both"/>
        <w:rPr>
          <w:rFonts w:asciiTheme="minorHAnsi" w:hAnsiTheme="minorHAnsi"/>
          <w:b/>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uzavřená mezi:</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roofErr w:type="gramStart"/>
      <w:r w:rsidRPr="00324C89">
        <w:rPr>
          <w:rFonts w:asciiTheme="minorHAnsi" w:hAnsiTheme="minorHAnsi"/>
          <w:sz w:val="24"/>
          <w:szCs w:val="24"/>
        </w:rPr>
        <w:t>1)  Jméno</w:t>
      </w:r>
      <w:proofErr w:type="gramEnd"/>
      <w:r w:rsidRPr="00324C89">
        <w:rPr>
          <w:rFonts w:asciiTheme="minorHAnsi" w:hAnsiTheme="minorHAnsi"/>
          <w:sz w:val="24"/>
          <w:szCs w:val="24"/>
        </w:rPr>
        <w:t>, příjmení / obchodní firma:</w:t>
      </w:r>
      <w:r w:rsidRPr="00324C89">
        <w:rPr>
          <w:rFonts w:asciiTheme="minorHAnsi" w:hAnsiTheme="minorHAnsi"/>
          <w:sz w:val="24"/>
          <w:szCs w:val="24"/>
        </w:rPr>
        <w:tab/>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bytem / sídlo:</w:t>
      </w:r>
      <w:r w:rsidRPr="00324C89">
        <w:rPr>
          <w:rFonts w:asciiTheme="minorHAnsi" w:hAnsiTheme="minorHAnsi"/>
          <w:sz w:val="24"/>
          <w:szCs w:val="24"/>
        </w:rPr>
        <w:tab/>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zapsaná v OR vedeném:</w:t>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emailová adresa pro účely doručování:</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datová schránka:                                       </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rodné číslo/IČ:</w:t>
      </w:r>
      <w:r w:rsidRPr="00324C89">
        <w:rPr>
          <w:rFonts w:asciiTheme="minorHAnsi" w:hAnsiTheme="minorHAnsi"/>
          <w:sz w:val="24"/>
          <w:szCs w:val="24"/>
        </w:rPr>
        <w:tab/>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číslo OP / </w:t>
      </w:r>
      <w:proofErr w:type="spellStart"/>
      <w:r w:rsidRPr="00324C89">
        <w:rPr>
          <w:rFonts w:asciiTheme="minorHAnsi" w:hAnsiTheme="minorHAnsi"/>
          <w:sz w:val="24"/>
          <w:szCs w:val="24"/>
        </w:rPr>
        <w:t>zast</w:t>
      </w:r>
      <w:proofErr w:type="spellEnd"/>
      <w:r w:rsidRPr="00324C89">
        <w:rPr>
          <w:rFonts w:asciiTheme="minorHAnsi" w:hAnsiTheme="minorHAnsi"/>
          <w:sz w:val="24"/>
          <w:szCs w:val="24"/>
        </w:rPr>
        <w:t>.:</w:t>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zastoupena osobou oprávněnou k podpisu na základě plné moci……………………………</w:t>
      </w:r>
      <w:proofErr w:type="gramStart"/>
      <w:r w:rsidRPr="00324C89">
        <w:rPr>
          <w:rFonts w:asciiTheme="minorHAnsi" w:hAnsiTheme="minorHAnsi"/>
          <w:sz w:val="24"/>
          <w:szCs w:val="24"/>
        </w:rPr>
        <w:t>…..</w:t>
      </w:r>
      <w:proofErr w:type="gramEnd"/>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(dále jen „</w:t>
      </w:r>
      <w:r w:rsidRPr="00324C89">
        <w:rPr>
          <w:rFonts w:asciiTheme="minorHAnsi" w:hAnsiTheme="minorHAnsi"/>
          <w:bCs/>
          <w:sz w:val="24"/>
          <w:szCs w:val="24"/>
        </w:rPr>
        <w:t>……………</w:t>
      </w:r>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a</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roofErr w:type="gramStart"/>
      <w:r w:rsidRPr="00324C89">
        <w:rPr>
          <w:rFonts w:asciiTheme="minorHAnsi" w:hAnsiTheme="minorHAnsi"/>
          <w:sz w:val="24"/>
          <w:szCs w:val="24"/>
        </w:rPr>
        <w:t>2)  Jméno</w:t>
      </w:r>
      <w:proofErr w:type="gramEnd"/>
      <w:r w:rsidRPr="00324C89">
        <w:rPr>
          <w:rFonts w:asciiTheme="minorHAnsi" w:hAnsiTheme="minorHAnsi"/>
          <w:sz w:val="24"/>
          <w:szCs w:val="24"/>
        </w:rPr>
        <w:t>, příjmení / obchodní firma:</w:t>
      </w:r>
      <w:r w:rsidRPr="00324C89">
        <w:rPr>
          <w:rFonts w:asciiTheme="minorHAnsi" w:hAnsiTheme="minorHAnsi"/>
          <w:sz w:val="24"/>
          <w:szCs w:val="24"/>
        </w:rPr>
        <w:tab/>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bytem / sídlo:</w:t>
      </w:r>
      <w:r w:rsidRPr="00324C89">
        <w:rPr>
          <w:rFonts w:asciiTheme="minorHAnsi" w:hAnsiTheme="minorHAnsi"/>
          <w:sz w:val="24"/>
          <w:szCs w:val="24"/>
        </w:rPr>
        <w:tab/>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zapsaná v OR vedeném:</w:t>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emailová adresa pro účely doručování:</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datová schránka:                                     </w:t>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r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rodné číslo:</w:t>
      </w:r>
      <w:r w:rsidRPr="00324C89">
        <w:rPr>
          <w:rFonts w:asciiTheme="minorHAnsi" w:hAnsiTheme="minorHAnsi"/>
          <w:sz w:val="24"/>
          <w:szCs w:val="24"/>
        </w:rPr>
        <w:tab/>
      </w:r>
      <w:r w:rsidRPr="00324C89">
        <w:rPr>
          <w:rFonts w:asciiTheme="minorHAnsi" w:hAnsiTheme="minorHAnsi"/>
          <w:sz w:val="24"/>
          <w:szCs w:val="24"/>
        </w:rPr>
        <w:tab/>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číslo OP / </w:t>
      </w:r>
      <w:proofErr w:type="spellStart"/>
      <w:r w:rsidRPr="00324C89">
        <w:rPr>
          <w:rFonts w:asciiTheme="minorHAnsi" w:hAnsiTheme="minorHAnsi"/>
          <w:sz w:val="24"/>
          <w:szCs w:val="24"/>
        </w:rPr>
        <w:t>zast</w:t>
      </w:r>
      <w:proofErr w:type="spellEnd"/>
      <w:r w:rsidRPr="00324C89">
        <w:rPr>
          <w:rFonts w:asciiTheme="minorHAnsi" w:hAnsiTheme="minorHAnsi"/>
          <w:sz w:val="24"/>
          <w:szCs w:val="24"/>
        </w:rPr>
        <w:t>.:</w:t>
      </w:r>
      <w:r w:rsidRPr="00324C89">
        <w:rPr>
          <w:rFonts w:asciiTheme="minorHAnsi" w:hAnsiTheme="minorHAnsi"/>
          <w:sz w:val="24"/>
          <w:szCs w:val="24"/>
        </w:rPr>
        <w:tab/>
        <w:t xml:space="preserve">                          </w:t>
      </w:r>
      <w:r w:rsidRPr="00324C89">
        <w:rPr>
          <w:rFonts w:asciiTheme="minorHAnsi" w:hAnsiTheme="minorHAnsi"/>
          <w:sz w:val="24"/>
          <w:szCs w:val="24"/>
        </w:rPr>
        <w:tab/>
      </w:r>
      <w:r w:rsidRPr="00324C89">
        <w:rPr>
          <w:rFonts w:asciiTheme="minorHAnsi" w:hAnsiTheme="minorHAnsi"/>
          <w:sz w:val="24"/>
          <w:szCs w:val="24"/>
        </w:rPr>
        <w:tab/>
        <w:t>……………………………………………….……</w:t>
      </w:r>
      <w:proofErr w:type="gramStart"/>
      <w:r w:rsidRPr="00324C89">
        <w:rPr>
          <w:rFonts w:asciiTheme="minorHAnsi" w:hAnsiTheme="minorHAnsi"/>
          <w:sz w:val="24"/>
          <w:szCs w:val="24"/>
        </w:rPr>
        <w:t>…..</w:t>
      </w:r>
      <w:proofErr w:type="gramEnd"/>
    </w:p>
    <w:p w:rsidR="003D61A7" w:rsidRPr="00324C89" w:rsidRDefault="003D61A7" w:rsidP="003D61A7">
      <w:pPr>
        <w:pStyle w:val="Bezmezer"/>
        <w:jc w:val="both"/>
        <w:rPr>
          <w:rFonts w:asciiTheme="minorHAnsi" w:hAnsiTheme="minorHAnsi"/>
          <w:sz w:val="24"/>
          <w:szCs w:val="24"/>
        </w:rPr>
      </w:pPr>
    </w:p>
    <w:p w:rsidR="003D61A7" w:rsidRPr="00324C89" w:rsidRDefault="00D65835" w:rsidP="003D61A7">
      <w:pPr>
        <w:pStyle w:val="Bezmezer"/>
        <w:jc w:val="both"/>
        <w:rPr>
          <w:rFonts w:asciiTheme="minorHAnsi" w:hAnsiTheme="minorHAnsi"/>
          <w:sz w:val="24"/>
          <w:szCs w:val="24"/>
        </w:rPr>
      </w:pPr>
      <w:r>
        <w:rPr>
          <w:rFonts w:asciiTheme="minorHAnsi" w:hAnsiTheme="minorHAnsi"/>
          <w:sz w:val="24"/>
          <w:szCs w:val="24"/>
        </w:rPr>
        <w:t>(dále jen „………………</w:t>
      </w:r>
      <w:r w:rsidR="003D61A7" w:rsidRPr="00324C89">
        <w:rPr>
          <w:rFonts w:asciiTheme="minorHAnsi" w:hAnsiTheme="minorHAnsi"/>
          <w:sz w:val="24"/>
          <w:szCs w:val="24"/>
        </w:rPr>
        <w:t>.“)</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Smluvní strany sjednaly v souladu se zákonem 216/94 Sb., o rozhodčím řízení a výkonu rozhodčích nálezů, v platném znění tuto</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center"/>
        <w:rPr>
          <w:rFonts w:asciiTheme="minorHAnsi" w:hAnsiTheme="minorHAnsi"/>
          <w:b/>
          <w:sz w:val="24"/>
          <w:szCs w:val="24"/>
        </w:rPr>
      </w:pPr>
      <w:r w:rsidRPr="00324C89">
        <w:rPr>
          <w:rFonts w:asciiTheme="minorHAnsi" w:hAnsiTheme="minorHAnsi"/>
          <w:b/>
          <w:sz w:val="24"/>
          <w:szCs w:val="24"/>
        </w:rPr>
        <w:t>rozhodčí smlouvu.</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Default="003D61A7" w:rsidP="003D61A7">
      <w:pPr>
        <w:pStyle w:val="Bezmezer"/>
        <w:jc w:val="both"/>
        <w:rPr>
          <w:rFonts w:asciiTheme="minorHAnsi" w:hAnsiTheme="minorHAnsi"/>
          <w:sz w:val="24"/>
          <w:szCs w:val="24"/>
        </w:rPr>
      </w:pPr>
      <w:r w:rsidRPr="00E30E9B">
        <w:rPr>
          <w:rFonts w:asciiTheme="minorHAnsi" w:hAnsiTheme="minorHAnsi"/>
          <w:sz w:val="24"/>
          <w:szCs w:val="24"/>
        </w:rPr>
        <w:t xml:space="preserve">1. Smluvní strany se dohodly, že všechny případné spory, vzniklé mezi nimi z právních jednání založených </w:t>
      </w:r>
      <w:proofErr w:type="gramStart"/>
      <w:r w:rsidRPr="00E30E9B">
        <w:rPr>
          <w:rFonts w:asciiTheme="minorHAnsi" w:hAnsiTheme="minorHAnsi"/>
          <w:sz w:val="24"/>
          <w:szCs w:val="24"/>
        </w:rPr>
        <w:t>smlouvou ............................................................. ze</w:t>
      </w:r>
      <w:proofErr w:type="gramEnd"/>
      <w:r w:rsidRPr="00E30E9B">
        <w:rPr>
          <w:rFonts w:asciiTheme="minorHAnsi" w:hAnsiTheme="minorHAnsi"/>
          <w:sz w:val="24"/>
          <w:szCs w:val="24"/>
        </w:rPr>
        <w:t xml:space="preserve"> dne ........................, nebo v souvislosti s ní, včetně sporů o platnost, výklad, realizaci či vznik této smlouvy budou rozhodnuty v souladu se zákonem 216/94 Sb., o rozhodčím řízení a výkonu rozhodčích nálezů, v platném znění jediným rozhodcem Viktorem Švantnerem, advokátem se sídlem v Plzni, Mikulášská třída 455/9, PSČ 326 00, ev. č. ČAK 12801, zapsané v seznamu rozhodců u Ministerstva spravedlnosti ČR pod č. 557. </w:t>
      </w:r>
      <w:r w:rsidRPr="00E30E9B">
        <w:rPr>
          <w:rFonts w:asciiTheme="minorHAnsi" w:hAnsiTheme="minorHAnsi" w:cs="Calibri"/>
          <w:sz w:val="24"/>
          <w:szCs w:val="24"/>
        </w:rPr>
        <w:t xml:space="preserve">Pro případ, že se stanovený rozhodce Viktor Švantner, advokát své funkce platně vzdá, nebo bude z projednávání věci vyloučen, nebo tuto funkci nebude moci z jakéhokoli důvodu vykonávat, určí osobu nového rozhodce jmenovaný Viktor Švantner, advokát. </w:t>
      </w:r>
      <w:r w:rsidRPr="00E30E9B">
        <w:rPr>
          <w:rFonts w:asciiTheme="minorHAnsi" w:hAnsiTheme="minorHAnsi"/>
          <w:sz w:val="24"/>
          <w:szCs w:val="24"/>
        </w:rPr>
        <w:t xml:space="preserve">V rozhodčím řízení budou rovněž rozhodovány veškeré další spory mezi smluvními stranami této smlouvy, které mezi nimi vzniknou ze závazkových vztahů již uzavřených či v budoucnu vzniklých nebo v souvislosti s nimi. V případě, že mezi stranami dojde ke sporu v souvislosti s výše uvedenou </w:t>
      </w:r>
      <w:r w:rsidRPr="00E30E9B">
        <w:rPr>
          <w:rFonts w:asciiTheme="minorHAnsi" w:hAnsiTheme="minorHAnsi"/>
          <w:bCs/>
          <w:sz w:val="24"/>
          <w:szCs w:val="24"/>
        </w:rPr>
        <w:t xml:space="preserve">smlouvou či dojde k jinému sporu, který je </w:t>
      </w:r>
      <w:r w:rsidRPr="00E30E9B">
        <w:rPr>
          <w:rFonts w:asciiTheme="minorHAnsi" w:hAnsiTheme="minorHAnsi"/>
          <w:bCs/>
          <w:sz w:val="24"/>
          <w:szCs w:val="24"/>
        </w:rPr>
        <w:lastRenderedPageBreak/>
        <w:t xml:space="preserve">uveden výše, veškeré nároky jednotlivých stran bude možné uplatit pouze cestou rozhodčího řízení podle této rozhodčí smlouvy, kdy bude vyloučena pravomoc a příslušnost obecných soudů. </w:t>
      </w:r>
      <w:r w:rsidRPr="00E30E9B">
        <w:rPr>
          <w:rFonts w:asciiTheme="minorHAnsi" w:hAnsiTheme="minorHAnsi"/>
          <w:sz w:val="24"/>
          <w:szCs w:val="24"/>
        </w:rPr>
        <w:t xml:space="preserve">Rozhodčí řízení bude jednoinstanční </w:t>
      </w:r>
      <w:r>
        <w:rPr>
          <w:rFonts w:asciiTheme="minorHAnsi" w:hAnsiTheme="minorHAnsi"/>
          <w:sz w:val="24"/>
          <w:szCs w:val="24"/>
        </w:rPr>
        <w:t>bez možnosti dalšího odvolání.</w:t>
      </w:r>
    </w:p>
    <w:p w:rsidR="003D61A7" w:rsidRPr="00E30E9B" w:rsidRDefault="003D61A7" w:rsidP="003D61A7">
      <w:pPr>
        <w:pStyle w:val="Bezmezer"/>
        <w:jc w:val="both"/>
        <w:rPr>
          <w:rFonts w:asciiTheme="minorHAnsi" w:hAnsiTheme="minorHAnsi"/>
          <w:sz w:val="24"/>
          <w:szCs w:val="24"/>
        </w:rPr>
      </w:pPr>
    </w:p>
    <w:p w:rsidR="003D61A7" w:rsidRPr="00324C89" w:rsidRDefault="003D61A7" w:rsidP="003D61A7">
      <w:pPr>
        <w:pStyle w:val="Zkladntext"/>
        <w:rPr>
          <w:rFonts w:asciiTheme="minorHAnsi" w:hAnsiTheme="minorHAnsi"/>
          <w:bCs/>
        </w:rPr>
      </w:pPr>
      <w:r w:rsidRPr="00324C89">
        <w:rPr>
          <w:rFonts w:asciiTheme="minorHAnsi" w:hAnsiTheme="minorHAnsi"/>
        </w:rPr>
        <w:t xml:space="preserve">2. Rozhodčí řízení bude zahájeno dnem, kdy bude rozhodci doručena žaloba. Podání žaloby má tytéž účinky jako by byla ve věci podána žaloba obecnému soudu. Určený rozhodce je povinen na žalobu vyznačit den, kdy mu byla žaloba doručena. Rozhodčí řízení bude probíhat na základě písemných podkladů a vyjádření účastníků. Ústní jednání bude nařízeno jen v případě, že o to požádá některá ze stran, nebo bude-li to rozhodce považovat za nezbytné. Místem ústního jednání je sídlo rozhodce. O ústním jednání budou strany písemně vyrozuměny. </w:t>
      </w:r>
      <w:r w:rsidRPr="00324C89">
        <w:rPr>
          <w:rFonts w:asciiTheme="minorHAnsi" w:hAnsiTheme="minorHAnsi"/>
          <w:bCs/>
        </w:rPr>
        <w:t>Veškeré podání k rozhodci je nutné činit dvojmo</w:t>
      </w:r>
      <w:r w:rsidRPr="00324C89">
        <w:rPr>
          <w:rFonts w:asciiTheme="minorHAnsi" w:hAnsiTheme="minorHAnsi"/>
          <w:bCs/>
          <w:lang w:val="cs-CZ"/>
        </w:rPr>
        <w:t>, včetně příloh</w:t>
      </w:r>
      <w:r w:rsidRPr="00324C89">
        <w:rPr>
          <w:rFonts w:asciiTheme="minorHAnsi" w:hAnsiTheme="minorHAnsi"/>
          <w:bCs/>
        </w:rPr>
        <w:t>.</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Zkladntext"/>
        <w:rPr>
          <w:rFonts w:asciiTheme="minorHAnsi" w:hAnsiTheme="minorHAnsi"/>
          <w:bCs/>
        </w:rPr>
      </w:pPr>
      <w:r w:rsidRPr="00324C89">
        <w:rPr>
          <w:rFonts w:asciiTheme="minorHAnsi" w:hAnsiTheme="minorHAnsi"/>
        </w:rPr>
        <w:t xml:space="preserve">3. </w:t>
      </w:r>
      <w:r w:rsidRPr="00324C89">
        <w:rPr>
          <w:rFonts w:asciiTheme="minorHAnsi" w:hAnsiTheme="minorHAnsi"/>
          <w:bCs/>
        </w:rPr>
        <w:t>Rozhodce vyzve žalovaného, aby se ve lhůtě 15 dnů od doručení výzvy ve věci písemně vyjádřil, a aby v případě, že nárok uplatněný v návrhu na zahájení rozhodčího řízení zcela neuzná, ve vyjádření vylíčil všechny skutečnosti, na nichž staví svoji obranu. Zároveň rozhodce vyzve žalovaného, aby předložil veškeré listinné důkazy, jichž se dovolává, a aby označil všechny důkazy k prokázání svých tvrzení. Jestliže se žalovaný bez vážného důvodu ve shora uvedené lhůtě ve věci nevyjádří a ani ve stejné lhůtě rozhodci nesdělí, jaký vážný důvod mu v tom brání, bude mít rozhodce za to, že žalovaný uznává nárok, který je vůči němu uplatňován. K později uplatněným skutečnostem či předloženým (označeným) důkazům nebude možné přihlížet.</w:t>
      </w:r>
    </w:p>
    <w:p w:rsidR="003D61A7" w:rsidRPr="00324C89" w:rsidRDefault="003D61A7" w:rsidP="003D61A7">
      <w:pPr>
        <w:pStyle w:val="Zkladntext"/>
        <w:rPr>
          <w:rFonts w:asciiTheme="minorHAnsi" w:hAnsiTheme="minorHAnsi"/>
          <w:bCs/>
        </w:rPr>
      </w:pPr>
      <w:r w:rsidRPr="00324C89">
        <w:rPr>
          <w:rFonts w:asciiTheme="minorHAnsi" w:hAnsiTheme="minorHAnsi"/>
          <w:bCs/>
        </w:rPr>
        <w:t xml:space="preserve">Rozhodce dále vyzve žalovaného, aby se ve stejné lhůtě vyjádřil, zda souhlasí s tím, aby bylo ve věci rozhodnuto bez nařízení jednání. Nevyjádří-li se ve stanovené lhůtě žalovaný jinak, bude rozhodce předpokládat, že s rozhodnutím věci bez nařízení jednání souhlasí. </w:t>
      </w:r>
    </w:p>
    <w:p w:rsidR="003D61A7" w:rsidRPr="00324C89" w:rsidRDefault="003D61A7" w:rsidP="003D61A7">
      <w:pPr>
        <w:pStyle w:val="Zkladntext"/>
        <w:rPr>
          <w:rFonts w:asciiTheme="minorHAnsi" w:hAnsiTheme="minorHAnsi"/>
          <w:bCs/>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4. Rozhodce se při rozhodování sporu vždy řídí hmotným právem ČR a právními předpisy na ochranu spotřebitele, pokud je jednou ze smluvních stran spotřebitel. Rozhodce nesmí rozhodovat ve zjevném rozporu s dobrými mravy nebo veřejným pořádkem. Právní předpisy rozhodce v rozhodčím řízení aplikuje stejně jako soudce v soudním řízení podle občanského soudního řádu. Rozhodce postupuje v řízení způsobem, který považuje za vhodný, vede řízení bez zbytečných formalit a při poskytnutí stejné příležitosti k uplatnění práv oběma stranám tak, aby byl zjištěn skutkový stav věci potřebný k rozhodnutí.</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5. Rozhodnutí v rozhodčím řízení je konečné a pro strany závazné. Rozhodnutí (rozhodčí nález či usnesení) bude stranám doručováno písemně do vlastních rukou na adresu uvedenou v této smlouvě, popř. na adresu, kterou pro tento účel strany rozhodci sdělí. Rozhodnutí může být doručeno též osobně. Další podmínky doručování upravuj</w:t>
      </w:r>
      <w:r w:rsidR="00C77F86">
        <w:rPr>
          <w:rFonts w:asciiTheme="minorHAnsi" w:hAnsiTheme="minorHAnsi"/>
          <w:sz w:val="24"/>
          <w:szCs w:val="24"/>
        </w:rPr>
        <w:t>e bod. 9</w:t>
      </w:r>
      <w:r w:rsidRPr="00324C89">
        <w:rPr>
          <w:rFonts w:asciiTheme="minorHAnsi" w:hAnsiTheme="minorHAnsi"/>
          <w:sz w:val="24"/>
          <w:szCs w:val="24"/>
        </w:rPr>
        <w:t>. této rozhodčí smlouvy.</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6. Rozhodnutí nabývá právní moci doručením poslednímu z účastníků řízení a stává se vykonatelným po uplynutí lhůty stanovené k plnění.</w:t>
      </w:r>
    </w:p>
    <w:p w:rsidR="003D61A7" w:rsidRDefault="003D61A7" w:rsidP="003D61A7">
      <w:pPr>
        <w:pStyle w:val="Bezmezer"/>
        <w:jc w:val="both"/>
        <w:rPr>
          <w:rFonts w:asciiTheme="minorHAnsi" w:hAnsiTheme="minorHAnsi"/>
          <w:sz w:val="24"/>
          <w:szCs w:val="24"/>
        </w:rPr>
      </w:pPr>
      <w:r w:rsidRPr="00324C89">
        <w:rPr>
          <w:rFonts w:asciiTheme="minorHAnsi" w:hAnsiTheme="minorHAnsi"/>
          <w:sz w:val="24"/>
          <w:szCs w:val="24"/>
        </w:rPr>
        <w:t>Nebude-li povinnost uložená rozhodnutím rozhodce splněna dobrovolně, je rozhodnutí rozhodce způsobilým exekučním titulem k nařízení výkonu rozhodnutí či exekuce na majetek účastníka řízení, který v řízení neuspěl.</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7. Činnost rozhodce je prováděna za úplatu. Náklady rozhodčího řízení jdou k tíži toho účastníka, kterému je tato povinnost uložena v rozhodnutí rozhodce, a to podle zásady úspěchu ve věci.</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lastRenderedPageBreak/>
        <w:t>Druhy nákladů, které mohou účastníkovi v rozhodčím řízení vzniknout:</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poplatek za rozhodčí řízení, který činí 2% (dvě procenta) z hodnoty sporu + DPH;</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náklady na cestovné do místa řízení;</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náklady na právní zastoupení účastníka;</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hotové výdaje;</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ušlý výdělek;</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 náklady </w:t>
      </w:r>
      <w:r>
        <w:rPr>
          <w:rFonts w:asciiTheme="minorHAnsi" w:hAnsiTheme="minorHAnsi"/>
          <w:sz w:val="24"/>
          <w:szCs w:val="24"/>
        </w:rPr>
        <w:t xml:space="preserve">na zajištění </w:t>
      </w:r>
      <w:r w:rsidRPr="00324C89">
        <w:rPr>
          <w:rFonts w:asciiTheme="minorHAnsi" w:hAnsiTheme="minorHAnsi"/>
          <w:sz w:val="24"/>
          <w:szCs w:val="24"/>
        </w:rPr>
        <w:t>důkazů včetně znalečného.</w:t>
      </w:r>
    </w:p>
    <w:p w:rsidR="003D61A7" w:rsidRPr="003C3AB7"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Hodnota sporu je určena jistinou žalované částky, popř. pětinásobkem hodnoty ročního </w:t>
      </w:r>
      <w:r w:rsidRPr="003C3AB7">
        <w:rPr>
          <w:rFonts w:asciiTheme="minorHAnsi" w:hAnsiTheme="minorHAnsi"/>
          <w:sz w:val="24"/>
          <w:szCs w:val="24"/>
        </w:rPr>
        <w:t xml:space="preserve">plnění při opakujícím se plnění na dobu neurčitou. U sporů, kde nelze výši hodnoty určit, činí výše poplatku za rozhodčí řízení částku 5.000,00 Kč. Výše poplatku se zaokrouhluje na celé stokoruny nahoru. Veškeré poplatky v rozhodčím řízení se platí na účet rozhodce č. </w:t>
      </w:r>
      <w:r w:rsidRPr="003C3AB7">
        <w:rPr>
          <w:rStyle w:val="text100"/>
          <w:sz w:val="24"/>
          <w:szCs w:val="24"/>
        </w:rPr>
        <w:t>2102305162</w:t>
      </w:r>
      <w:r w:rsidRPr="003C3AB7">
        <w:rPr>
          <w:rFonts w:asciiTheme="minorHAnsi" w:hAnsiTheme="minorHAnsi"/>
          <w:sz w:val="24"/>
          <w:szCs w:val="24"/>
        </w:rPr>
        <w:t xml:space="preserve">/2700 vedený u </w:t>
      </w:r>
      <w:proofErr w:type="spellStart"/>
      <w:r w:rsidRPr="003C3AB7">
        <w:rPr>
          <w:rStyle w:val="preformatted"/>
          <w:sz w:val="24"/>
          <w:szCs w:val="24"/>
        </w:rPr>
        <w:t>UniCredit</w:t>
      </w:r>
      <w:proofErr w:type="spellEnd"/>
      <w:r w:rsidRPr="003C3AB7">
        <w:rPr>
          <w:rStyle w:val="preformatted"/>
          <w:sz w:val="24"/>
          <w:szCs w:val="24"/>
        </w:rPr>
        <w:t xml:space="preserve"> Bank Czech Republic and Slovakia, a.s.</w:t>
      </w:r>
    </w:p>
    <w:p w:rsidR="003D61A7" w:rsidRPr="00102658" w:rsidRDefault="003D61A7" w:rsidP="003D61A7">
      <w:pPr>
        <w:pStyle w:val="Bezmezer"/>
        <w:jc w:val="both"/>
        <w:rPr>
          <w:rFonts w:asciiTheme="minorHAnsi" w:hAnsiTheme="minorHAnsi"/>
          <w:sz w:val="24"/>
          <w:szCs w:val="24"/>
        </w:rPr>
      </w:pPr>
      <w:r w:rsidRPr="003C3AB7">
        <w:rPr>
          <w:rFonts w:asciiTheme="minorHAnsi" w:hAnsiTheme="minorHAnsi"/>
          <w:sz w:val="24"/>
          <w:szCs w:val="24"/>
        </w:rPr>
        <w:t>Při zpětvzetí žaloby (protižaloby) nejpozději v pracovní den předcházející dni, na nějž bylo nařízeno první ústní jednání, se vrací 80% poplatku zaplaceného za podání žaloby</w:t>
      </w:r>
      <w:r w:rsidRPr="00102658">
        <w:rPr>
          <w:rFonts w:asciiTheme="minorHAnsi" w:hAnsiTheme="minorHAnsi"/>
          <w:sz w:val="24"/>
          <w:szCs w:val="24"/>
        </w:rPr>
        <w:t xml:space="preserve"> (protižaloby).</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Náklady právního zastoupení účastníků se stanoví podle vyhlášky MS ČR č. 177/</w:t>
      </w:r>
      <w:r w:rsidR="00D65835">
        <w:rPr>
          <w:rFonts w:asciiTheme="minorHAnsi" w:hAnsiTheme="minorHAnsi"/>
          <w:sz w:val="24"/>
          <w:szCs w:val="24"/>
        </w:rPr>
        <w:t>19</w:t>
      </w:r>
      <w:r w:rsidRPr="00324C89">
        <w:rPr>
          <w:rFonts w:asciiTheme="minorHAnsi" w:hAnsiTheme="minorHAnsi"/>
          <w:sz w:val="24"/>
          <w:szCs w:val="24"/>
        </w:rPr>
        <w:t>96 Sb., v platném znění.</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8. Smluvní strany závazně prohlašují, že jim byl poskytnutý vyžádaný čas k nastudování zákona č. 216/1994 Sb., o rozhodčím řízení a o výkonu rozhodčích nálezů, ve znění pozdějších předpisů a k prostudování této rozhodčí smlouvy. Smluvní strany prohlašují, že jsou schopny posoudit, jaké důsledky pro ně mohou uzavřením rozhodčí smlouvy nastat. Rovněž prohlašují, že jim jsou známy všechny následky rozhodčí smlouvy.</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Smluvní strany závazně prohlašují, že porozuměly systému řešení sporů v rozhodčím řízení a pochopily, že je alternativou řešení sporů před obecným (státním) soudem a že rozhodčí nález je exekučním titulem, který je bez dalšího soudně vykonatelný a na základě takového rozhodčího nálezu lze vést výkon rozhodnutí (exekuci) na majetek účastníka řízení, který v řízení neuspěl.</w:t>
      </w: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Smluvní strany závazně prohlašují, že si před podpisem tuto rozhodčí smlouvu přečetl, a k jejím náležitostem nemíjí žádných dalších otázek ani nepotřebuji poskytnout žádných dalších vysvětlení.</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 xml:space="preserve">9. Účastníci se dohodli, že rozhodce bude doručovat dokumenty v rozhodčím řízení na elektronickou adresu účastníků uvedenou v této smlouvě, případně na elektronickou adresu, kterou účastníci rozhodci jako svou elektronickou adresu písemně oznámí. Za doručení písemnosti se bude v tomto případě považovat den, kdy účastník potvrdí, že mu byla písemnost doručena, nejpozději však desátý den ode dne, kdy rozhodce účastníkovi takto písemnost elektronickou cestou zaslal. Rozhodce je rovněž oprávněn zasílat účastníkům dokumenty na adresy uvedené v této smlouvě nebo na adresu, kterou účastníci rozhodci jako svou doručovací adresu písemně oznámí. Tento způsob doručování může rozhodce zvolit bez ohledu na to, zda se pokusil písemnosti doručit na elektronickou adresu účastníků. Pokud se nebude účastník na uvedené adrese zdržovat a dokumenty si nepřevezme, rozhodce vyvěsí ve svém sídle výzvu k vyzvednutí zásilky a sdělení o doručení za přiměřeného použití § 49 odst. 2 občanského soudního řádu a § 49 odst. 4 občanského soudního řádu, avšak s tím, že dokumenty nemusí být rozhodcem doručovány na adresu trvalého bydliště či sídla, nýbrž na adresu sjednanou v této smlouvě či adresu, která bude rozhodci písemně sdělena účastníkem. V případě, že si uloženou písemnost adresát nevyzvedne ve lhůtě 10 dnů ode dne, kdy byla </w:t>
      </w:r>
      <w:r w:rsidRPr="00324C89">
        <w:rPr>
          <w:rFonts w:asciiTheme="minorHAnsi" w:hAnsiTheme="minorHAnsi"/>
          <w:sz w:val="24"/>
          <w:szCs w:val="24"/>
        </w:rPr>
        <w:lastRenderedPageBreak/>
        <w:t>připravena k vyzvednutí v sídle rozhodce, považuje se desátý den této lhůty za den doručení. Způsobem uvedeným v tomto odstavci bude doručován rovněž rozhodčí nález ve věci samé.</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10. Tato smlouva je sjednávána samostatně a nikoliv jako součást podmínek, jimiž se řídí smlouva hlavní. Smlouvu lze měnit pouze písemnými dodatky. Tato smlouva se uzavírá ve dvou vyhotoveních, z nichž po jednom oboustranně podepsaném vyhotovení obdrží každá ze stran.</w:t>
      </w:r>
    </w:p>
    <w:p w:rsidR="003D61A7" w:rsidRPr="00324C89" w:rsidRDefault="003D61A7" w:rsidP="003D61A7">
      <w:pPr>
        <w:pStyle w:val="Bezmezer"/>
        <w:jc w:val="both"/>
        <w:rPr>
          <w:rFonts w:asciiTheme="minorHAnsi" w:hAnsiTheme="minorHAnsi"/>
          <w:sz w:val="24"/>
          <w:szCs w:val="24"/>
        </w:rPr>
      </w:pPr>
    </w:p>
    <w:p w:rsidR="003D61A7" w:rsidRPr="00C77F86" w:rsidRDefault="003D61A7" w:rsidP="003D61A7">
      <w:pPr>
        <w:pStyle w:val="Bezmezer"/>
        <w:jc w:val="both"/>
        <w:rPr>
          <w:rFonts w:asciiTheme="minorHAnsi" w:hAnsiTheme="minorHAnsi"/>
          <w:sz w:val="24"/>
          <w:szCs w:val="24"/>
        </w:rPr>
      </w:pPr>
      <w:r w:rsidRPr="00C77F86">
        <w:rPr>
          <w:rFonts w:asciiTheme="minorHAnsi" w:hAnsiTheme="minorHAnsi"/>
          <w:sz w:val="24"/>
          <w:szCs w:val="24"/>
        </w:rPr>
        <w:t xml:space="preserve">11. </w:t>
      </w:r>
      <w:r w:rsidR="00C77F86" w:rsidRPr="00C77F86">
        <w:rPr>
          <w:rFonts w:asciiTheme="minorHAnsi" w:hAnsiTheme="minorHAnsi"/>
          <w:sz w:val="24"/>
          <w:szCs w:val="24"/>
        </w:rPr>
        <w:t>Smluvní s</w:t>
      </w:r>
      <w:r w:rsidR="00C77F86" w:rsidRPr="00C77F86">
        <w:rPr>
          <w:sz w:val="24"/>
          <w:szCs w:val="24"/>
        </w:rPr>
        <w:t>trany po přečtení této rozhodčí smlouvy prohlašují, že souhlasí s jejím obsahem, že tato smlouva byla sepsána vážně, určitě, srozumitelně a na základě jejich pravé a svobodné vůle, na důkaz čehož připojují níže své podpisy.</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r w:rsidRPr="00324C89">
        <w:rPr>
          <w:rFonts w:asciiTheme="minorHAnsi" w:hAnsiTheme="minorHAnsi"/>
          <w:sz w:val="24"/>
          <w:szCs w:val="24"/>
        </w:rPr>
        <w:t>V ……………………… dne ……………………….</w:t>
      </w: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p w:rsidR="003D61A7" w:rsidRPr="00324C89" w:rsidRDefault="003D61A7" w:rsidP="003D61A7">
      <w:pPr>
        <w:pStyle w:val="Bezmezer"/>
        <w:jc w:val="both"/>
        <w:rPr>
          <w:rFonts w:asciiTheme="minorHAnsi" w:hAnsiTheme="minorHAnsi"/>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3D61A7" w:rsidRPr="00324C89" w:rsidTr="003D61A7">
        <w:tc>
          <w:tcPr>
            <w:tcW w:w="4606" w:type="dxa"/>
          </w:tcPr>
          <w:p w:rsidR="003D61A7" w:rsidRPr="00324C89" w:rsidRDefault="003D61A7" w:rsidP="009C1C74">
            <w:pPr>
              <w:pStyle w:val="Bezmezer"/>
              <w:jc w:val="center"/>
              <w:rPr>
                <w:rFonts w:asciiTheme="minorHAnsi" w:hAnsiTheme="minorHAnsi"/>
                <w:sz w:val="24"/>
                <w:szCs w:val="24"/>
              </w:rPr>
            </w:pPr>
            <w:r w:rsidRPr="00324C89">
              <w:rPr>
                <w:rFonts w:asciiTheme="minorHAnsi" w:hAnsiTheme="minorHAnsi"/>
                <w:sz w:val="24"/>
                <w:szCs w:val="24"/>
              </w:rPr>
              <w:t>………………………………………………..</w:t>
            </w:r>
          </w:p>
        </w:tc>
        <w:tc>
          <w:tcPr>
            <w:tcW w:w="4606" w:type="dxa"/>
          </w:tcPr>
          <w:p w:rsidR="003D61A7" w:rsidRPr="00324C89" w:rsidRDefault="003D61A7" w:rsidP="009C1C74">
            <w:pPr>
              <w:pStyle w:val="Bezmezer"/>
              <w:jc w:val="center"/>
              <w:rPr>
                <w:rFonts w:asciiTheme="minorHAnsi" w:hAnsiTheme="minorHAnsi"/>
                <w:sz w:val="24"/>
                <w:szCs w:val="24"/>
              </w:rPr>
            </w:pPr>
            <w:r w:rsidRPr="00324C89">
              <w:rPr>
                <w:rFonts w:asciiTheme="minorHAnsi" w:hAnsiTheme="minorHAnsi"/>
                <w:sz w:val="24"/>
                <w:szCs w:val="24"/>
              </w:rPr>
              <w:t>………………………………………………..</w:t>
            </w:r>
          </w:p>
        </w:tc>
      </w:tr>
      <w:tr w:rsidR="003D61A7" w:rsidRPr="00324C89" w:rsidTr="003D61A7">
        <w:tc>
          <w:tcPr>
            <w:tcW w:w="4606" w:type="dxa"/>
          </w:tcPr>
          <w:p w:rsidR="003D61A7" w:rsidRPr="00324C89" w:rsidRDefault="003D61A7" w:rsidP="009C1C74">
            <w:pPr>
              <w:pStyle w:val="Bezmezer"/>
              <w:jc w:val="both"/>
              <w:rPr>
                <w:rFonts w:asciiTheme="minorHAnsi" w:hAnsiTheme="minorHAnsi"/>
                <w:sz w:val="24"/>
                <w:szCs w:val="24"/>
              </w:rPr>
            </w:pPr>
          </w:p>
        </w:tc>
        <w:tc>
          <w:tcPr>
            <w:tcW w:w="4606" w:type="dxa"/>
          </w:tcPr>
          <w:p w:rsidR="003D61A7" w:rsidRPr="00324C89" w:rsidRDefault="003D61A7" w:rsidP="009C1C74">
            <w:pPr>
              <w:pStyle w:val="Bezmezer"/>
              <w:jc w:val="both"/>
              <w:rPr>
                <w:rFonts w:asciiTheme="minorHAnsi" w:hAnsiTheme="minorHAnsi"/>
                <w:sz w:val="24"/>
                <w:szCs w:val="24"/>
              </w:rPr>
            </w:pPr>
          </w:p>
        </w:tc>
      </w:tr>
    </w:tbl>
    <w:p w:rsidR="003D61A7" w:rsidRPr="00324C89" w:rsidRDefault="003D61A7" w:rsidP="003D61A7">
      <w:pPr>
        <w:pStyle w:val="Bezmezer"/>
        <w:jc w:val="both"/>
        <w:rPr>
          <w:rFonts w:asciiTheme="minorHAnsi" w:hAnsiTheme="minorHAnsi"/>
          <w:sz w:val="24"/>
          <w:szCs w:val="24"/>
        </w:rPr>
      </w:pPr>
    </w:p>
    <w:p w:rsidR="007B0D7E" w:rsidRDefault="007B0D7E"/>
    <w:sectPr w:rsidR="007B0D7E" w:rsidSect="006A4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A7"/>
    <w:rsid w:val="003D61A7"/>
    <w:rsid w:val="00590622"/>
    <w:rsid w:val="007B0D7E"/>
    <w:rsid w:val="00C77F86"/>
    <w:rsid w:val="00D65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04919-C3AC-4DE9-99F6-55AFE51A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61A7"/>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D61A7"/>
    <w:pPr>
      <w:spacing w:after="0" w:line="240" w:lineRule="auto"/>
    </w:pPr>
    <w:rPr>
      <w:rFonts w:ascii="Calibri" w:eastAsia="Calibri" w:hAnsi="Calibri" w:cs="Times New Roman"/>
    </w:rPr>
  </w:style>
  <w:style w:type="paragraph" w:styleId="Zkladntext">
    <w:name w:val="Body Text"/>
    <w:basedOn w:val="Normln"/>
    <w:link w:val="ZkladntextChar"/>
    <w:rsid w:val="003D61A7"/>
    <w:pPr>
      <w:suppressAutoHyphens/>
      <w:spacing w:after="0" w:line="240" w:lineRule="auto"/>
      <w:jc w:val="both"/>
    </w:pPr>
    <w:rPr>
      <w:rFonts w:ascii="Times New Roman" w:eastAsia="Times New Roman" w:hAnsi="Times New Roman"/>
      <w:sz w:val="24"/>
      <w:szCs w:val="24"/>
      <w:lang w:val="x-none" w:eastAsia="ar-SA"/>
    </w:rPr>
  </w:style>
  <w:style w:type="character" w:customStyle="1" w:styleId="ZkladntextChar">
    <w:name w:val="Základní text Char"/>
    <w:basedOn w:val="Standardnpsmoodstavce"/>
    <w:link w:val="Zkladntext"/>
    <w:rsid w:val="003D61A7"/>
    <w:rPr>
      <w:rFonts w:ascii="Times New Roman" w:eastAsia="Times New Roman" w:hAnsi="Times New Roman" w:cs="Times New Roman"/>
      <w:sz w:val="24"/>
      <w:szCs w:val="24"/>
      <w:lang w:val="x-none" w:eastAsia="ar-SA"/>
    </w:rPr>
  </w:style>
  <w:style w:type="table" w:styleId="Mkatabulky">
    <w:name w:val="Table Grid"/>
    <w:basedOn w:val="Normlntabulka"/>
    <w:uiPriority w:val="59"/>
    <w:rsid w:val="003D61A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00">
    <w:name w:val="text_100"/>
    <w:rsid w:val="003D61A7"/>
  </w:style>
  <w:style w:type="character" w:customStyle="1" w:styleId="preformatted">
    <w:name w:val="preformatted"/>
    <w:rsid w:val="003D6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8377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OPICE</dc:creator>
  <cp:keywords/>
  <dc:description/>
  <cp:lastModifiedBy>OPICE</cp:lastModifiedBy>
  <cp:revision>2</cp:revision>
  <dcterms:created xsi:type="dcterms:W3CDTF">2015-02-07T09:34:00Z</dcterms:created>
  <dcterms:modified xsi:type="dcterms:W3CDTF">2015-02-07T09:34:00Z</dcterms:modified>
</cp:coreProperties>
</file>